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76" w:lineRule="auto"/>
        <w:ind w:left="0" w:right="0" w:firstLine="0"/>
        <w:jc w:val="both"/>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577215</wp:posOffset>
            </wp:positionH>
            <wp:positionV relativeFrom="topMargin">
              <wp:posOffset>1402080</wp:posOffset>
            </wp:positionV>
            <wp:extent cx="5017770" cy="94996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017770" cy="94996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Курикулум (Наставен план)</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МОДУЛ ЗА ОБУКА 2 – Зелени компетенции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31/12/2023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1 | Поглавја за обука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Цел на учењето</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Зелените компетенции се вештините, знаењето и ставовите потребни за да се живее и работи на одржлив начин и тие се од суштинско значење за справување со предизвиците на животната средина со кои се соочува нашата планета.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Целта на овој модул е да им помогне на вработените во општините да развијат вештини специфични за потребите на општините, како што се заштита на животната средина  и културното наследство и зелени бизниси, енергетска ефикасност, општествена одговорност, зелена економија итн.</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Целиот модул се фокусира на вештини директно применливи за локалните општински проблеми идентификувани преку анализа на потребите и ќе им понуди на учесниците повеќе подготвени вештини применливи во нивниот локален, општински контекст.</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 да се олесни, модулот вклучува практични примери и студии на случај за да им помогне на учесниците подобро да го разберат значењето и практичната реализација на одредени аспекти.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делот за учење: </w:t>
      </w:r>
    </w:p>
    <w:tbl>
      <w:tblPr>
        <w:tblStyle w:val="Table1"/>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7"/>
        <w:gridCol w:w="3527"/>
        <w:gridCol w:w="1009"/>
        <w:gridCol w:w="2267"/>
        <w:gridCol w:w="3050"/>
        <w:tblGridChange w:id="0">
          <w:tblGrid>
            <w:gridCol w:w="767"/>
            <w:gridCol w:w="3527"/>
            <w:gridCol w:w="1009"/>
            <w:gridCol w:w="2267"/>
            <w:gridCol w:w="3050"/>
          </w:tblGrid>
        </w:tblGridChange>
      </w:tblGrid>
      <w:tr>
        <w:trPr>
          <w:cantSplit w:val="0"/>
          <w:tblHeader w:val="0"/>
        </w:trPr>
        <w:tc>
          <w:tcPr>
            <w:shd w:fill="70ad47"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shd w:fill="70ad47"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 на GreenComp</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часовна презентација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часа игра</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 и игра</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5"/>
                <w:szCs w:val="25"/>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PPT, играта GreenComp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 часа</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1.1. – Рамка на ЕУ за компетенции за одржливост (GREENCOMP)</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GreenComp е референтна рамка за компетенции за одржливост. Таа обезбедува заедничка основа за учениците и насоки за едукаторите, унапредувајќи ја консензуалната дефиниција за тоа што подразбира одржливоста како компетентност. Таа нуди заеднички јазик за компетенциите за одржливост и се предлага да се користи за развој на политики, евалуација на постоечките наставни програми, дизајн на нови и размислување</w:t>
      </w:r>
      <w:r w:rsidDel="00000000" w:rsidR="00000000" w:rsidRPr="00000000">
        <w:rPr>
          <w:rFonts w:ascii="STIX" w:cs="STIX" w:eastAsia="STIX" w:hAnsi="STIX"/>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Таа одговара на зголемената потреба на луѓето да ги подобрат и развијат знаењата, вештините и ставовите за живеење, работа и дејствување на одржлив начин. Тaa е дизајниранa да ги поддржи програмите за образование и обука за доживотно учење. Таа е напишана за сите ученици, без оглед на нивната возраст и нивното ниво на образование и во која било средина за учење – формална, неформална и информална.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Компетенциите за одржливост може да им помогнат на учениците да станат системски и критички мислители, како и да развијат агенција и да формираат основа за знаење за сите кои се грижат за сегашната и идната состојба на нашата планета.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Научат што е одржливост како општ концепт</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Препознаваат што се зелените компетенции и зошто се толку корисни на работното место</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Научат поодржлив пристап</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1.1.1. ПРЕЗЕНТАЦИЈА НА GREENCOMP</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221b35"/>
          <w:sz w:val="22"/>
          <w:szCs w:val="22"/>
          <w:u w:val="none"/>
          <w:shd w:fill="auto" w:val="clear"/>
          <w:vertAlign w:val="baseline"/>
        </w:rPr>
      </w:pPr>
      <w:r w:rsidDel="00000000" w:rsidR="00000000" w:rsidRPr="00000000">
        <w:rPr>
          <w:rFonts w:ascii="Calibri" w:cs="Calibri" w:eastAsia="Calibri" w:hAnsi="Calibri"/>
          <w:b w:val="0"/>
          <w:i w:val="0"/>
          <w:smallCaps w:val="0"/>
          <w:strike w:val="0"/>
          <w:color w:val="221b35"/>
          <w:sz w:val="22"/>
          <w:szCs w:val="22"/>
          <w:u w:val="none"/>
          <w:shd w:fill="auto" w:val="clear"/>
          <w:vertAlign w:val="baseline"/>
          <w:rtl w:val="0"/>
        </w:rPr>
        <w:t xml:space="preserve">Активноста започнува со целосна презентација на документот GreenComp, неговите главни аспекти и опсег. Вториот дел е посветен на игра со опсег да се сфати конкретното функционирање на документот и можностите што може да се генерираат.</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GreenComp се состои од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12 компетенции</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 организирани во </w:t>
      </w:r>
      <w:r w:rsidDel="00000000" w:rsidR="00000000" w:rsidRPr="00000000">
        <w:rPr>
          <w:rFonts w:ascii="Calibri" w:cs="Calibri" w:eastAsia="Calibri" w:hAnsi="Calibri"/>
          <w:b w:val="1"/>
          <w:i w:val="0"/>
          <w:smallCaps w:val="0"/>
          <w:strike w:val="0"/>
          <w:color w:val="404040"/>
          <w:sz w:val="22"/>
          <w:szCs w:val="22"/>
          <w:u w:val="none"/>
          <w:shd w:fill="auto" w:val="clear"/>
          <w:vertAlign w:val="baseline"/>
          <w:rtl w:val="0"/>
        </w:rPr>
        <w:t xml:space="preserve">четирите области </w:t>
      </w: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подолу:</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Отелотворување на вредностите за одржливост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вклучувајќи ги и компетенциите</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Вреднување на одржливоста: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размислува за личните вредности; да се идентификуваат и објаснат како вредностите варираат меѓу луѓето и со текот на времето, додека критички се оценува како тие се усогласуваат со вредностите на одржливоста.</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Поддршка на правичноста: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поддржи еднаквоста и правдата за сегашните и идните генерации и да се учи од претходните генерации за одржливост.</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Промовирање на природата: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признае дека луѓето се дел од природата; и да се почитуваат потребите и правата на другите видови и на самата природа со цел да се обноват и регенерираат здрави и отпорни екосистеми.</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Прифаќање на комплексноста во одржливоста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вклучувајќи ги и компетенциите</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Размислување на системите: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пристапи кон проблемот со одржливоста од сите страни; да се разгледа времето, просторот и контекстот со цел да се разбере како елементите комуницираат во и помеѓу системите.</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Критичко размислување: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проценат информациите и аргументите, да се идентификуваат претпоставките, да се оспори статус кво и да се размислува за тоа како личните, социјалните и културните средини влијаат врз размислувањето и заклучоците.</w:t>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Врамување на проблемот: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формулираат тековните или потенцијалните предизвици како проблем на одржливост во однос на тешкотиите, вклучените лица, временскиот и географскиот опсег, со цел да се идентификуваат соодветни пристапи за предвидување и спречување на проблемите, како и за ублажување и прилагодување на веќе постоечките проблеми.</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Предвидување одржлива иднина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вклучувајќи ги и компетенциите</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Писменост за иднината: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предвидат алтернативни одржливи иднини преку замислување и развивање на алтернативни сценарија и идентификување на чекорите потребни за постигнување на претпочитана одржлива иднина</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Адаптивност: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управува со транзиции и предизвици во сложени ситуации на одржливост и да донесува одлуки поврзани со иднината во услови на несигурност, двосмисленост и ризик</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Истражувачко размислување:</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усвои релационен начин на размислување преку истражување и поврзување на различни дисциплини, користејќи креативност и експериментирање со нови идеи или методи</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Дејствување за одржливост,</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вклучувајќи ги и компетенциите</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Политичка агенција: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движи низ политичкиот систем, да идентификува политичка одговорност и отчетност за неодржливо однесување и да бара ефективни политики за одржливост</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Колективна акција: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Да се делува за промени во соработка со другите</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Индивидуална иницијатива:</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Да се идентификува сопствениот потенцијал за одржливост и активно да се придонесе за подобрување на изгледите за заедницата и планетата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Играта по презентацијата на GreenComp може да им даде можност на учесниците да научат и заедно да разговараат за тоа како да ги развијат овие вештини.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Играчи: групи направени од 3-6 лица</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Материјали: објаснети области на GreenComp, картички за 17 цели за одржлив развој</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404040"/>
          <w:sz w:val="22"/>
          <w:szCs w:val="22"/>
          <w:u w:val="none"/>
          <w:shd w:fill="auto" w:val="clear"/>
          <w:vertAlign w:val="baseline"/>
          <w:rtl w:val="0"/>
        </w:rPr>
        <w:t xml:space="preserve">За секоја од 17-те ЦОР од играчите се бара да ја проверат подготвеноста на своите компетенции со примена на методологијата на GreenComp избирајќи најмалку 2 компетенции од 2 различни области.</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404040"/>
          <w:sz w:val="24"/>
          <w:szCs w:val="24"/>
          <w:u w:val="none"/>
          <w:shd w:fill="auto" w:val="clear"/>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Додека GreenComp ги охрабрува учениците да се стекнат со 12 компетенции, тие не треба да се здобијат со највисоко ниво на владеење во сите 12, ниту да имаат исто ниво на владеење во сите нив. Навистина, GreenComp имплицира дека одржливоста како компетентност е направена од 12 градежни блокови.</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1.2. – Градење позелени, одржливи и поотпорни заедници</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Одржливоста влијае на различни области и активности на градовите и локалната администрација. Тие се одговорни за операциите, регулативите и ресурсите во рамките на одредена област и во крајна линија се одговорни за благосостојбата на нивното население.</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2"/>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7"/>
        <w:gridCol w:w="3527"/>
        <w:gridCol w:w="1009"/>
        <w:gridCol w:w="2267"/>
        <w:gridCol w:w="3050"/>
        <w:tblGridChange w:id="0">
          <w:tblGrid>
            <w:gridCol w:w="767"/>
            <w:gridCol w:w="3527"/>
            <w:gridCol w:w="1009"/>
            <w:gridCol w:w="2267"/>
            <w:gridCol w:w="3050"/>
          </w:tblGrid>
        </w:tblGridChange>
      </w:tblGrid>
      <w:tr>
        <w:trPr>
          <w:cantSplit w:val="0"/>
          <w:tblHeader w:val="0"/>
        </w:trPr>
        <w:tc>
          <w:tcPr>
            <w:shd w:fill="70ad47" w:val="clea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shd w:fill="70ad47"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w:t>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Студии на случај</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часа</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 Според интересот на учесниците ќе бидат презентирани и дискутирани најмалку две или повеќе студии на случај.</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 часа</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06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Пронајдете можни решенија за слични проблеми/потреби од студиите на случај</w:t>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Подобро разбирање на практичната имплементација на специфичните компетенции</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1.2.1. СТУДИИ НА СЛУЧАЈ</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Споредување на локалните проблеми/потреби со примерот наведен во модулот. Учесниците, исто така, можат да го користат резултатот од играта спроведена во претходната сесија и да ги споредат можните решенија создадени со реалните студии на случај спроведени во Европа. Според интересот на учесниците и/или секојдневните задачи ќе бидат анализирани и дискутирани две или повеќе студии на случај. Делокругот на единицата е да ја поттикне размената и решавањето на проблемите меѓу учесниците.</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2"/>
        <w:spacing w:after="280" w:before="280" w:lineRule="auto"/>
        <w:rPr>
          <w:rFonts w:ascii="Calibri" w:cs="Calibri" w:eastAsia="Calibri" w:hAnsi="Calibri"/>
          <w:color w:val="70ad47"/>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3 | Материјали за предавање</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4 | Дополнителни материјали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https://publications.jrc.ec.europa.eu/repository/handle/JRC128040</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5 | Референци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ff"/>
          <w:sz w:val="24"/>
          <w:szCs w:val="24"/>
          <w:u w:val="singl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https://publications.jrc.ec.europa.eu/repository/handle/JRC128040</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ff"/>
          <w:sz w:val="24"/>
          <w:szCs w:val="24"/>
          <w:u w:val="singl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https://joint-research-centre.ec.europa.eu/greencomp-european-sustainability-competence-framework/greencomp-policy-background-and-methodology_en</w:t>
        </w:r>
      </w:hyperlink>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28"/>
        </w:tabs>
        <w:spacing w:after="0" w:before="0" w:line="276"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tl w:val="0"/>
        </w:rPr>
      </w:r>
    </w:p>
    <w:sectPr>
      <w:headerReference r:id="rId10" w:type="default"/>
      <w:footerReference r:id="rId11" w:type="default"/>
      <w:pgSz w:h="15840" w:w="12240" w:orient="portrait"/>
      <w:pgMar w:bottom="1800" w:top="261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Courier New"/>
  <w:font w:name="STIX"/>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3924300</wp:posOffset>
          </wp:positionH>
          <wp:positionV relativeFrom="paragraph">
            <wp:posOffset>5295900</wp:posOffset>
          </wp:positionV>
          <wp:extent cx="3962400" cy="4686300"/>
          <wp:effectExtent b="0" l="0" r="0" t="0"/>
          <wp:wrapNone/>
          <wp:docPr id="10"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3962400" cy="4686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-539112</wp:posOffset>
          </wp:positionH>
          <wp:positionV relativeFrom="paragraph">
            <wp:posOffset>0</wp:posOffset>
          </wp:positionV>
          <wp:extent cx="902335" cy="60198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2335" cy="6019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-25397</wp:posOffset>
          </wp:positionV>
          <wp:extent cx="1008380" cy="360045"/>
          <wp:effectExtent b="0" l="0" r="0" t="0"/>
          <wp:wrapSquare wrapText="bothSides" distB="0" distT="0" distL="114300" distR="114300"/>
          <wp:docPr id="7"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1663700</wp:posOffset>
          </wp:positionH>
          <wp:positionV relativeFrom="paragraph">
            <wp:posOffset>-35557</wp:posOffset>
          </wp:positionV>
          <wp:extent cx="974725" cy="328295"/>
          <wp:effectExtent b="0" l="0" r="0" t="0"/>
          <wp:wrapSquare wrapText="bothSides" distB="0" distT="0" distL="114300" distR="114300"/>
          <wp:docPr id="1" name="image10.png"/>
          <a:graphic>
            <a:graphicData uri="http://schemas.openxmlformats.org/drawingml/2006/picture">
              <pic:pic>
                <pic:nvPicPr>
                  <pic:cNvPr id="0" name="image10.png"/>
                  <pic:cNvPicPr preferRelativeResize="0"/>
                </pic:nvPicPr>
                <pic:blipFill>
                  <a:blip r:embed="rId4"/>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5267325</wp:posOffset>
          </wp:positionH>
          <wp:positionV relativeFrom="paragraph">
            <wp:posOffset>10795</wp:posOffset>
          </wp:positionV>
          <wp:extent cx="1054735" cy="327660"/>
          <wp:effectExtent b="0" l="0" r="0" t="0"/>
          <wp:wrapSquare wrapText="bothSides" distB="0" distT="0" distL="114300" distR="114300"/>
          <wp:docPr id="2" name="image4.jpg"/>
          <a:graphic>
            <a:graphicData uri="http://schemas.openxmlformats.org/drawingml/2006/picture">
              <pic:pic>
                <pic:nvPicPr>
                  <pic:cNvPr id="0" name="image4.jpg"/>
                  <pic:cNvPicPr preferRelativeResize="0"/>
                </pic:nvPicPr>
                <pic:blipFill>
                  <a:blip r:embed="rId5"/>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2919730</wp:posOffset>
          </wp:positionH>
          <wp:positionV relativeFrom="paragraph">
            <wp:posOffset>-6347</wp:posOffset>
          </wp:positionV>
          <wp:extent cx="1385570" cy="384810"/>
          <wp:effectExtent b="0" l="0" r="0" t="0"/>
          <wp:wrapSquare wrapText="bothSides" distB="0" distT="0" distL="114300" distR="114300"/>
          <wp:docPr id="8"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1385570" cy="384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4513580</wp:posOffset>
          </wp:positionH>
          <wp:positionV relativeFrom="paragraph">
            <wp:posOffset>-141602</wp:posOffset>
          </wp:positionV>
          <wp:extent cx="574675" cy="574675"/>
          <wp:effectExtent b="0" l="0" r="0" t="0"/>
          <wp:wrapNone/>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74675" cy="574675"/>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3397884</wp:posOffset>
          </wp:positionH>
          <wp:positionV relativeFrom="paragraph">
            <wp:posOffset>-26032</wp:posOffset>
          </wp:positionV>
          <wp:extent cx="2377440" cy="502920"/>
          <wp:effectExtent b="0" l="0" r="0" t="0"/>
          <wp:wrapNone/>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377440" cy="502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5715</wp:posOffset>
          </wp:positionV>
          <wp:extent cx="2404745" cy="454660"/>
          <wp:effectExtent b="0" l="0" r="0" t="0"/>
          <wp:wrapSquare wrapText="bothSides" distB="0" distT="0" distL="114300" distR="114300"/>
          <wp:docPr id="5" name="image9.jpg"/>
          <a:graphic>
            <a:graphicData uri="http://schemas.openxmlformats.org/drawingml/2006/picture">
              <pic:pic>
                <pic:nvPicPr>
                  <pic:cNvPr id="0" name="image9.jpg"/>
                  <pic:cNvPicPr preferRelativeResize="0"/>
                </pic:nvPicPr>
                <pic:blipFill>
                  <a:blip r:embed="rId2"/>
                  <a:srcRect b="0" l="0" r="0" t="0"/>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k-M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joint-research-centre.ec.europa.eu/greencomp-european-sustainability-competence-framework/greencomp-policy-background-and-methodology_en" TargetMode="Externa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publications.jrc.ec.europa.eu/repository/handle/JRC128040" TargetMode="External"/><Relationship Id="rId8" Type="http://schemas.openxmlformats.org/officeDocument/2006/relationships/hyperlink" Target="https://publications.jrc.ec.europa.eu/repository/handle/JRC12804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1.png"/><Relationship Id="rId3" Type="http://schemas.openxmlformats.org/officeDocument/2006/relationships/image" Target="media/image2.jpg"/><Relationship Id="rId4" Type="http://schemas.openxmlformats.org/officeDocument/2006/relationships/image" Target="media/image10.png"/><Relationship Id="rId5" Type="http://schemas.openxmlformats.org/officeDocument/2006/relationships/image" Target="media/image4.jpg"/><Relationship Id="rId6" Type="http://schemas.openxmlformats.org/officeDocument/2006/relationships/image" Target="media/image5.jpg"/><Relationship Id="rId7"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